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11A" w:rsidRDefault="00D8011A" w:rsidP="00D8011A">
      <w:pPr>
        <w:spacing w:after="0" w:line="240" w:lineRule="auto"/>
        <w:rPr>
          <w:b/>
          <w:highlight w:val="lightGray"/>
        </w:rPr>
      </w:pPr>
      <w:r w:rsidRPr="00D8011A">
        <w:rPr>
          <w:b/>
          <w:highlight w:val="lightGray"/>
        </w:rPr>
        <w:t xml:space="preserve">Case study </w:t>
      </w:r>
      <w:r w:rsidR="004C6B32">
        <w:rPr>
          <w:b/>
          <w:highlight w:val="lightGray"/>
        </w:rPr>
        <w:t xml:space="preserve">Activity </w:t>
      </w:r>
      <w:proofErr w:type="gramStart"/>
      <w:r w:rsidR="004C6B32">
        <w:rPr>
          <w:b/>
          <w:highlight w:val="lightGray"/>
        </w:rPr>
        <w:t>4</w:t>
      </w:r>
      <w:r w:rsidR="00CA124A">
        <w:rPr>
          <w:b/>
          <w:highlight w:val="lightGray"/>
        </w:rPr>
        <w:t xml:space="preserve"> </w:t>
      </w:r>
      <w:r w:rsidRPr="00D8011A">
        <w:rPr>
          <w:b/>
          <w:highlight w:val="lightGray"/>
        </w:rPr>
        <w:t xml:space="preserve"> </w:t>
      </w:r>
      <w:r>
        <w:rPr>
          <w:b/>
          <w:highlight w:val="lightGray"/>
        </w:rPr>
        <w:t>task</w:t>
      </w:r>
      <w:proofErr w:type="gramEnd"/>
      <w:r>
        <w:rPr>
          <w:b/>
          <w:highlight w:val="lightGray"/>
        </w:rPr>
        <w:t xml:space="preserve"> description</w:t>
      </w:r>
    </w:p>
    <w:p w:rsidR="000543AC" w:rsidRDefault="000543AC" w:rsidP="000543AC">
      <w:pPr>
        <w:spacing w:after="0" w:line="240" w:lineRule="auto"/>
        <w:rPr>
          <w:b/>
        </w:rPr>
      </w:pPr>
    </w:p>
    <w:p w:rsidR="00CA124A" w:rsidRDefault="00431EC6" w:rsidP="00CA124A">
      <w:pPr>
        <w:spacing w:after="0" w:line="240" w:lineRule="auto"/>
        <w:rPr>
          <w:b/>
        </w:rPr>
      </w:pPr>
      <w:r>
        <w:rPr>
          <w:b/>
          <w:highlight w:val="lightGray"/>
        </w:rPr>
        <w:t xml:space="preserve">Stakeholder analysis </w:t>
      </w:r>
      <w:r w:rsidR="004C6B32" w:rsidRPr="004C6B32">
        <w:rPr>
          <w:b/>
          <w:highlight w:val="lightGray"/>
        </w:rPr>
        <w:t>and mainstreaming</w:t>
      </w:r>
    </w:p>
    <w:p w:rsidR="00CA124A" w:rsidRPr="00CA124A" w:rsidRDefault="00CA124A" w:rsidP="00CA124A">
      <w:pPr>
        <w:spacing w:after="0" w:line="240" w:lineRule="auto"/>
        <w:rPr>
          <w:b/>
        </w:rPr>
      </w:pPr>
    </w:p>
    <w:p w:rsidR="00550C1C" w:rsidRPr="004C6B32" w:rsidRDefault="004C6B32" w:rsidP="00550C1C">
      <w:pPr>
        <w:spacing w:after="0" w:line="240" w:lineRule="auto"/>
      </w:pPr>
      <w:r>
        <w:t>Review the case study material and the annex on stakeholders. B</w:t>
      </w:r>
      <w:r w:rsidR="00550C1C" w:rsidRPr="004C6B32">
        <w:t xml:space="preserve">earing in mind the different stakeholders and their power and interests plot where they are in terms of their interest to mainstream environment and their power and ability to carry this out.  </w:t>
      </w:r>
    </w:p>
    <w:p w:rsidR="00550C1C" w:rsidRPr="004C6B32" w:rsidRDefault="00550C1C" w:rsidP="00550C1C">
      <w:pPr>
        <w:spacing w:after="0" w:line="240" w:lineRule="auto"/>
      </w:pPr>
      <w:bookmarkStart w:id="0" w:name="_GoBack"/>
      <w:bookmarkEnd w:id="0"/>
    </w:p>
    <w:p w:rsidR="00550C1C" w:rsidRPr="004C6B32" w:rsidRDefault="004C6B32" w:rsidP="00550C1C">
      <w:pPr>
        <w:spacing w:after="0" w:line="240" w:lineRule="auto"/>
      </w:pPr>
      <w:r>
        <w:t xml:space="preserve">Groups of 5+ </w:t>
      </w:r>
      <w:r w:rsidR="00550C1C" w:rsidRPr="004C6B32">
        <w:t xml:space="preserve">get together with each one making a plot using a standard axis and then placing </w:t>
      </w:r>
      <w:proofErr w:type="gramStart"/>
      <w:r w:rsidR="00550C1C" w:rsidRPr="004C6B32">
        <w:t>cards .</w:t>
      </w:r>
      <w:proofErr w:type="gramEnd"/>
      <w:r w:rsidR="00550C1C" w:rsidRPr="004C6B32">
        <w:t xml:space="preserve"> </w:t>
      </w:r>
    </w:p>
    <w:p w:rsidR="00550C1C" w:rsidRPr="004C6B32" w:rsidRDefault="00550C1C" w:rsidP="00550C1C">
      <w:pPr>
        <w:spacing w:after="0" w:line="240" w:lineRule="auto"/>
      </w:pPr>
    </w:p>
    <w:p w:rsidR="00550C1C" w:rsidRPr="004C6B32" w:rsidRDefault="00550C1C" w:rsidP="00550C1C">
      <w:pPr>
        <w:spacing w:after="0" w:line="240" w:lineRule="auto"/>
      </w:pPr>
      <w:r w:rsidRPr="004C6B32">
        <w:t xml:space="preserve">5’ for additional reading; 20’ for group discussion and cards; 15’ plenary review: allow 45 </w:t>
      </w:r>
      <w:proofErr w:type="spellStart"/>
      <w:r w:rsidRPr="004C6B32">
        <w:t>mins</w:t>
      </w:r>
      <w:proofErr w:type="spellEnd"/>
    </w:p>
    <w:p w:rsidR="00CF48C8" w:rsidRDefault="00CF48C8" w:rsidP="00CA124A">
      <w:pPr>
        <w:spacing w:after="0" w:line="240" w:lineRule="auto"/>
        <w:rPr>
          <w:b/>
        </w:rPr>
      </w:pPr>
    </w:p>
    <w:p w:rsidR="00A22559" w:rsidRPr="000543AC" w:rsidRDefault="00A22559" w:rsidP="00CA124A">
      <w:pPr>
        <w:spacing w:after="0" w:line="240" w:lineRule="auto"/>
      </w:pPr>
      <w:r>
        <w:rPr>
          <w:b/>
        </w:rPr>
        <w:t>Annex on stakeholders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4901"/>
        <w:gridCol w:w="3285"/>
      </w:tblGrid>
      <w:tr w:rsidR="00A22559" w:rsidTr="0013735A">
        <w:tc>
          <w:tcPr>
            <w:tcW w:w="1668" w:type="dxa"/>
            <w:shd w:val="clear" w:color="auto" w:fill="F2F2F2"/>
          </w:tcPr>
          <w:p w:rsidR="00A22559" w:rsidRPr="0013735A" w:rsidRDefault="00A22559" w:rsidP="0013735A">
            <w:pPr>
              <w:spacing w:after="0" w:line="240" w:lineRule="auto"/>
              <w:rPr>
                <w:b/>
                <w:sz w:val="18"/>
                <w:szCs w:val="18"/>
              </w:rPr>
            </w:pPr>
            <w:r w:rsidRPr="0013735A">
              <w:rPr>
                <w:b/>
                <w:sz w:val="18"/>
                <w:szCs w:val="18"/>
              </w:rPr>
              <w:t>Stakeholder</w:t>
            </w:r>
          </w:p>
        </w:tc>
        <w:tc>
          <w:tcPr>
            <w:tcW w:w="4901" w:type="dxa"/>
            <w:shd w:val="clear" w:color="auto" w:fill="F2F2F2"/>
          </w:tcPr>
          <w:p w:rsidR="00A22559" w:rsidRPr="0013735A" w:rsidRDefault="00A22559" w:rsidP="0013735A">
            <w:pPr>
              <w:spacing w:after="0" w:line="240" w:lineRule="auto"/>
              <w:rPr>
                <w:b/>
                <w:sz w:val="18"/>
                <w:szCs w:val="18"/>
              </w:rPr>
            </w:pPr>
            <w:r w:rsidRPr="0013735A">
              <w:rPr>
                <w:b/>
                <w:sz w:val="18"/>
                <w:szCs w:val="18"/>
              </w:rPr>
              <w:t>Interests</w:t>
            </w:r>
            <w:r w:rsidR="004C6B32" w:rsidRPr="0013735A">
              <w:rPr>
                <w:b/>
                <w:sz w:val="18"/>
                <w:szCs w:val="18"/>
              </w:rPr>
              <w:t xml:space="preserve"> - notes</w:t>
            </w:r>
          </w:p>
        </w:tc>
        <w:tc>
          <w:tcPr>
            <w:tcW w:w="3285" w:type="dxa"/>
            <w:shd w:val="clear" w:color="auto" w:fill="F2F2F2"/>
          </w:tcPr>
          <w:p w:rsidR="00A22559" w:rsidRPr="0013735A" w:rsidRDefault="00A22559" w:rsidP="0013735A">
            <w:pPr>
              <w:spacing w:after="0" w:line="240" w:lineRule="auto"/>
              <w:rPr>
                <w:b/>
                <w:sz w:val="18"/>
                <w:szCs w:val="18"/>
              </w:rPr>
            </w:pPr>
            <w:r w:rsidRPr="0013735A">
              <w:rPr>
                <w:b/>
                <w:sz w:val="18"/>
                <w:szCs w:val="18"/>
              </w:rPr>
              <w:t>Capacities</w:t>
            </w:r>
            <w:r w:rsidR="004C6B32" w:rsidRPr="0013735A">
              <w:rPr>
                <w:b/>
                <w:sz w:val="18"/>
                <w:szCs w:val="18"/>
              </w:rPr>
              <w:t xml:space="preserve"> - notes</w:t>
            </w:r>
          </w:p>
        </w:tc>
      </w:tr>
      <w:tr w:rsidR="00A22559" w:rsidTr="0013735A">
        <w:tc>
          <w:tcPr>
            <w:tcW w:w="1668" w:type="dxa"/>
            <w:shd w:val="clear" w:color="auto" w:fill="auto"/>
          </w:tcPr>
          <w:p w:rsidR="00A22559" w:rsidRPr="0013735A" w:rsidRDefault="00A22559" w:rsidP="0013735A">
            <w:pPr>
              <w:spacing w:after="0" w:line="240" w:lineRule="auto"/>
              <w:rPr>
                <w:sz w:val="18"/>
                <w:szCs w:val="18"/>
              </w:rPr>
            </w:pPr>
            <w:r w:rsidRPr="0013735A">
              <w:rPr>
                <w:sz w:val="18"/>
                <w:szCs w:val="18"/>
              </w:rPr>
              <w:t>Sugar factory owner</w:t>
            </w:r>
            <w:r w:rsidR="00EB2FC7" w:rsidRPr="0013735A">
              <w:rPr>
                <w:sz w:val="18"/>
                <w:szCs w:val="18"/>
              </w:rPr>
              <w:t xml:space="preserve"> (private and government)</w:t>
            </w:r>
          </w:p>
          <w:p w:rsidR="00EB2FC7" w:rsidRPr="0013735A" w:rsidRDefault="00EB2FC7" w:rsidP="0013735A">
            <w:pPr>
              <w:spacing w:after="0" w:line="240" w:lineRule="auto"/>
              <w:rPr>
                <w:sz w:val="18"/>
                <w:szCs w:val="18"/>
              </w:rPr>
            </w:pPr>
          </w:p>
        </w:tc>
        <w:tc>
          <w:tcPr>
            <w:tcW w:w="4901" w:type="dxa"/>
            <w:shd w:val="clear" w:color="auto" w:fill="auto"/>
          </w:tcPr>
          <w:p w:rsidR="00A22559" w:rsidRPr="0013735A" w:rsidRDefault="00A22559" w:rsidP="0013735A">
            <w:pPr>
              <w:spacing w:after="0" w:line="240" w:lineRule="auto"/>
              <w:rPr>
                <w:sz w:val="18"/>
                <w:szCs w:val="18"/>
              </w:rPr>
            </w:pPr>
            <w:r w:rsidRPr="0013735A">
              <w:rPr>
                <w:sz w:val="18"/>
                <w:szCs w:val="18"/>
              </w:rPr>
              <w:t>Safe guard investment</w:t>
            </w:r>
          </w:p>
          <w:p w:rsidR="00A22559" w:rsidRPr="0013735A" w:rsidRDefault="00A22559" w:rsidP="0013735A">
            <w:pPr>
              <w:spacing w:after="0" w:line="240" w:lineRule="auto"/>
              <w:rPr>
                <w:sz w:val="18"/>
                <w:szCs w:val="18"/>
              </w:rPr>
            </w:pPr>
            <w:r w:rsidRPr="0013735A">
              <w:rPr>
                <w:sz w:val="18"/>
                <w:szCs w:val="18"/>
              </w:rPr>
              <w:t>Adjust production costs to reduce impact of tariff changes</w:t>
            </w:r>
          </w:p>
          <w:p w:rsidR="0087186B" w:rsidRPr="0013735A" w:rsidRDefault="0087186B" w:rsidP="0013735A">
            <w:pPr>
              <w:spacing w:after="0" w:line="240" w:lineRule="auto"/>
              <w:rPr>
                <w:sz w:val="18"/>
                <w:szCs w:val="18"/>
              </w:rPr>
            </w:pPr>
            <w:r w:rsidRPr="0013735A">
              <w:rPr>
                <w:sz w:val="18"/>
                <w:szCs w:val="18"/>
              </w:rPr>
              <w:t>Vested interests to slow privatisation</w:t>
            </w:r>
          </w:p>
          <w:p w:rsidR="0087186B" w:rsidRPr="0013735A" w:rsidRDefault="0087186B" w:rsidP="0013735A">
            <w:pPr>
              <w:spacing w:after="0" w:line="240" w:lineRule="auto"/>
              <w:rPr>
                <w:sz w:val="18"/>
                <w:szCs w:val="18"/>
              </w:rPr>
            </w:pPr>
            <w:r w:rsidRPr="0013735A">
              <w:rPr>
                <w:sz w:val="18"/>
                <w:szCs w:val="18"/>
              </w:rPr>
              <w:t>Expand production areas (new mills)</w:t>
            </w:r>
          </w:p>
        </w:tc>
        <w:tc>
          <w:tcPr>
            <w:tcW w:w="3285" w:type="dxa"/>
            <w:shd w:val="clear" w:color="auto" w:fill="auto"/>
          </w:tcPr>
          <w:p w:rsidR="00A22559" w:rsidRPr="0013735A" w:rsidRDefault="00CF48C8" w:rsidP="0013735A">
            <w:pPr>
              <w:spacing w:after="0" w:line="240" w:lineRule="auto"/>
              <w:rPr>
                <w:sz w:val="18"/>
                <w:szCs w:val="18"/>
              </w:rPr>
            </w:pPr>
            <w:r w:rsidRPr="0013735A">
              <w:rPr>
                <w:sz w:val="18"/>
                <w:szCs w:val="18"/>
              </w:rPr>
              <w:t>Government factories have lower capacity</w:t>
            </w:r>
          </w:p>
          <w:p w:rsidR="00CF48C8" w:rsidRPr="0013735A" w:rsidRDefault="00CF48C8" w:rsidP="0013735A">
            <w:pPr>
              <w:spacing w:after="0" w:line="240" w:lineRule="auto"/>
              <w:rPr>
                <w:sz w:val="18"/>
                <w:szCs w:val="18"/>
              </w:rPr>
            </w:pPr>
            <w:r w:rsidRPr="0013735A">
              <w:rPr>
                <w:sz w:val="18"/>
                <w:szCs w:val="18"/>
              </w:rPr>
              <w:t xml:space="preserve">New investors tend to have high capacity </w:t>
            </w:r>
          </w:p>
        </w:tc>
      </w:tr>
      <w:tr w:rsidR="00A22559" w:rsidTr="0013735A">
        <w:tc>
          <w:tcPr>
            <w:tcW w:w="1668" w:type="dxa"/>
            <w:shd w:val="clear" w:color="auto" w:fill="auto"/>
          </w:tcPr>
          <w:p w:rsidR="00A22559" w:rsidRPr="0013735A" w:rsidRDefault="00A22559" w:rsidP="0013735A">
            <w:pPr>
              <w:spacing w:after="0" w:line="240" w:lineRule="auto"/>
              <w:rPr>
                <w:sz w:val="18"/>
                <w:szCs w:val="18"/>
              </w:rPr>
            </w:pPr>
            <w:r w:rsidRPr="0013735A">
              <w:rPr>
                <w:sz w:val="18"/>
                <w:szCs w:val="18"/>
              </w:rPr>
              <w:t>Manager</w:t>
            </w:r>
            <w:r w:rsidR="00CF48C8" w:rsidRPr="0013735A">
              <w:rPr>
                <w:sz w:val="18"/>
                <w:szCs w:val="18"/>
              </w:rPr>
              <w:t>/ workers</w:t>
            </w:r>
          </w:p>
        </w:tc>
        <w:tc>
          <w:tcPr>
            <w:tcW w:w="4901" w:type="dxa"/>
            <w:shd w:val="clear" w:color="auto" w:fill="auto"/>
          </w:tcPr>
          <w:p w:rsidR="00A22559" w:rsidRPr="0013735A" w:rsidRDefault="00A22559" w:rsidP="0013735A">
            <w:pPr>
              <w:spacing w:after="0" w:line="240" w:lineRule="auto"/>
              <w:rPr>
                <w:sz w:val="18"/>
                <w:szCs w:val="18"/>
              </w:rPr>
            </w:pPr>
            <w:r w:rsidRPr="0013735A">
              <w:rPr>
                <w:sz w:val="18"/>
                <w:szCs w:val="18"/>
              </w:rPr>
              <w:t>Profitable operation that safe guards employment so operations are not on a skeleton budget</w:t>
            </w:r>
          </w:p>
          <w:p w:rsidR="00A22559" w:rsidRPr="0013735A" w:rsidRDefault="00A22559" w:rsidP="0013735A">
            <w:pPr>
              <w:spacing w:after="0" w:line="240" w:lineRule="auto"/>
              <w:rPr>
                <w:sz w:val="18"/>
                <w:szCs w:val="18"/>
              </w:rPr>
            </w:pPr>
            <w:r w:rsidRPr="0013735A">
              <w:rPr>
                <w:sz w:val="18"/>
                <w:szCs w:val="18"/>
              </w:rPr>
              <w:t xml:space="preserve">Simplify operations and reduce complexity </w:t>
            </w:r>
          </w:p>
        </w:tc>
        <w:tc>
          <w:tcPr>
            <w:tcW w:w="3285" w:type="dxa"/>
            <w:shd w:val="clear" w:color="auto" w:fill="auto"/>
          </w:tcPr>
          <w:p w:rsidR="00A22559" w:rsidRPr="0013735A" w:rsidRDefault="00CF48C8" w:rsidP="0013735A">
            <w:pPr>
              <w:spacing w:after="0" w:line="240" w:lineRule="auto"/>
              <w:rPr>
                <w:sz w:val="18"/>
                <w:szCs w:val="18"/>
              </w:rPr>
            </w:pPr>
            <w:r w:rsidRPr="0013735A">
              <w:rPr>
                <w:sz w:val="18"/>
                <w:szCs w:val="18"/>
              </w:rPr>
              <w:t xml:space="preserve">Vary depending on whether government or private (old or new) </w:t>
            </w:r>
          </w:p>
        </w:tc>
      </w:tr>
      <w:tr w:rsidR="00A22559" w:rsidTr="0013735A">
        <w:tc>
          <w:tcPr>
            <w:tcW w:w="1668" w:type="dxa"/>
            <w:shd w:val="clear" w:color="auto" w:fill="auto"/>
          </w:tcPr>
          <w:p w:rsidR="00A22559" w:rsidRPr="0013735A" w:rsidRDefault="00A22559" w:rsidP="0013735A">
            <w:pPr>
              <w:spacing w:after="0" w:line="240" w:lineRule="auto"/>
              <w:rPr>
                <w:sz w:val="18"/>
                <w:szCs w:val="18"/>
              </w:rPr>
            </w:pPr>
            <w:r w:rsidRPr="0013735A">
              <w:rPr>
                <w:sz w:val="18"/>
                <w:szCs w:val="18"/>
              </w:rPr>
              <w:t>Farmer</w:t>
            </w:r>
            <w:r w:rsidR="00EB2FC7" w:rsidRPr="0013735A">
              <w:rPr>
                <w:sz w:val="18"/>
                <w:szCs w:val="18"/>
              </w:rPr>
              <w:t xml:space="preserve"> (Kenya sugar growers association)</w:t>
            </w:r>
          </w:p>
        </w:tc>
        <w:tc>
          <w:tcPr>
            <w:tcW w:w="4901" w:type="dxa"/>
            <w:shd w:val="clear" w:color="auto" w:fill="auto"/>
          </w:tcPr>
          <w:p w:rsidR="00A22559" w:rsidRPr="0013735A" w:rsidRDefault="0087186B" w:rsidP="0013735A">
            <w:pPr>
              <w:spacing w:after="0" w:line="240" w:lineRule="auto"/>
              <w:rPr>
                <w:sz w:val="18"/>
                <w:szCs w:val="18"/>
              </w:rPr>
            </w:pPr>
            <w:r w:rsidRPr="0013735A">
              <w:rPr>
                <w:sz w:val="18"/>
                <w:szCs w:val="18"/>
              </w:rPr>
              <w:t>High price for cane and s</w:t>
            </w:r>
            <w:r w:rsidR="00A22559" w:rsidRPr="0013735A">
              <w:rPr>
                <w:sz w:val="18"/>
                <w:szCs w:val="18"/>
              </w:rPr>
              <w:t>teady dependable sales</w:t>
            </w:r>
          </w:p>
          <w:p w:rsidR="00A22559" w:rsidRPr="0013735A" w:rsidRDefault="00A22559" w:rsidP="0013735A">
            <w:pPr>
              <w:spacing w:after="0" w:line="240" w:lineRule="auto"/>
              <w:rPr>
                <w:sz w:val="18"/>
                <w:szCs w:val="18"/>
              </w:rPr>
            </w:pPr>
            <w:r w:rsidRPr="0013735A">
              <w:rPr>
                <w:sz w:val="18"/>
                <w:szCs w:val="18"/>
              </w:rPr>
              <w:t xml:space="preserve">Safe working conditions </w:t>
            </w:r>
          </w:p>
          <w:p w:rsidR="00EB2FC7" w:rsidRPr="0013735A" w:rsidRDefault="00EB2FC7" w:rsidP="0013735A">
            <w:pPr>
              <w:spacing w:after="0" w:line="240" w:lineRule="auto"/>
              <w:rPr>
                <w:sz w:val="18"/>
                <w:szCs w:val="18"/>
              </w:rPr>
            </w:pPr>
            <w:r w:rsidRPr="0013735A">
              <w:rPr>
                <w:sz w:val="18"/>
                <w:szCs w:val="18"/>
              </w:rPr>
              <w:t>Sucrose cane payment system</w:t>
            </w:r>
          </w:p>
          <w:p w:rsidR="0087186B" w:rsidRPr="0013735A" w:rsidRDefault="0087186B" w:rsidP="0013735A">
            <w:pPr>
              <w:spacing w:after="0" w:line="240" w:lineRule="auto"/>
              <w:rPr>
                <w:sz w:val="18"/>
                <w:szCs w:val="18"/>
              </w:rPr>
            </w:pPr>
            <w:r w:rsidRPr="0013735A">
              <w:rPr>
                <w:sz w:val="18"/>
                <w:szCs w:val="18"/>
              </w:rPr>
              <w:t>Improved research and extension services</w:t>
            </w:r>
          </w:p>
        </w:tc>
        <w:tc>
          <w:tcPr>
            <w:tcW w:w="3285" w:type="dxa"/>
            <w:shd w:val="clear" w:color="auto" w:fill="auto"/>
          </w:tcPr>
          <w:p w:rsidR="00A22559" w:rsidRPr="0013735A" w:rsidRDefault="0087186B" w:rsidP="0013735A">
            <w:pPr>
              <w:spacing w:after="0" w:line="240" w:lineRule="auto"/>
              <w:rPr>
                <w:sz w:val="18"/>
                <w:szCs w:val="18"/>
              </w:rPr>
            </w:pPr>
            <w:r w:rsidRPr="0013735A">
              <w:rPr>
                <w:sz w:val="18"/>
                <w:szCs w:val="18"/>
              </w:rPr>
              <w:t>Many grower associations under the KESMA umbrella are weak</w:t>
            </w:r>
          </w:p>
          <w:p w:rsidR="0087186B" w:rsidRPr="0013735A" w:rsidRDefault="0087186B" w:rsidP="0013735A">
            <w:pPr>
              <w:spacing w:after="0" w:line="240" w:lineRule="auto"/>
              <w:rPr>
                <w:sz w:val="18"/>
                <w:szCs w:val="18"/>
              </w:rPr>
            </w:pPr>
            <w:r w:rsidRPr="0013735A">
              <w:rPr>
                <w:sz w:val="18"/>
                <w:szCs w:val="18"/>
              </w:rPr>
              <w:t>Poor cane husbandry</w:t>
            </w:r>
          </w:p>
          <w:p w:rsidR="0087186B" w:rsidRPr="0013735A" w:rsidRDefault="0087186B" w:rsidP="0013735A">
            <w:pPr>
              <w:spacing w:after="0" w:line="240" w:lineRule="auto"/>
              <w:rPr>
                <w:sz w:val="18"/>
                <w:szCs w:val="18"/>
              </w:rPr>
            </w:pPr>
            <w:r w:rsidRPr="0013735A">
              <w:rPr>
                <w:sz w:val="18"/>
                <w:szCs w:val="18"/>
              </w:rPr>
              <w:t>High transport costs</w:t>
            </w:r>
          </w:p>
        </w:tc>
      </w:tr>
      <w:tr w:rsidR="00A22559" w:rsidTr="0013735A">
        <w:tc>
          <w:tcPr>
            <w:tcW w:w="1668" w:type="dxa"/>
            <w:shd w:val="clear" w:color="auto" w:fill="auto"/>
          </w:tcPr>
          <w:p w:rsidR="00A22559" w:rsidRPr="0013735A" w:rsidRDefault="00A22559" w:rsidP="0013735A">
            <w:pPr>
              <w:spacing w:after="0" w:line="240" w:lineRule="auto"/>
              <w:rPr>
                <w:sz w:val="18"/>
                <w:szCs w:val="18"/>
              </w:rPr>
            </w:pPr>
            <w:r w:rsidRPr="0013735A">
              <w:rPr>
                <w:sz w:val="18"/>
                <w:szCs w:val="18"/>
              </w:rPr>
              <w:t>Sector Ministries</w:t>
            </w:r>
          </w:p>
          <w:p w:rsidR="0087186B" w:rsidRPr="0013735A" w:rsidRDefault="0087186B" w:rsidP="0013735A">
            <w:pPr>
              <w:spacing w:after="0" w:line="240" w:lineRule="auto"/>
              <w:rPr>
                <w:sz w:val="18"/>
                <w:szCs w:val="18"/>
              </w:rPr>
            </w:pPr>
            <w:r w:rsidRPr="0013735A">
              <w:rPr>
                <w:sz w:val="18"/>
                <w:szCs w:val="18"/>
              </w:rPr>
              <w:t>(sugar board; research bodies)</w:t>
            </w:r>
          </w:p>
        </w:tc>
        <w:tc>
          <w:tcPr>
            <w:tcW w:w="4901" w:type="dxa"/>
            <w:shd w:val="clear" w:color="auto" w:fill="auto"/>
          </w:tcPr>
          <w:p w:rsidR="00A22559" w:rsidRPr="0013735A" w:rsidRDefault="00A22559" w:rsidP="0013735A">
            <w:pPr>
              <w:spacing w:after="0" w:line="240" w:lineRule="auto"/>
              <w:rPr>
                <w:sz w:val="18"/>
                <w:szCs w:val="18"/>
              </w:rPr>
            </w:pPr>
            <w:r w:rsidRPr="0013735A">
              <w:rPr>
                <w:sz w:val="18"/>
                <w:szCs w:val="18"/>
              </w:rPr>
              <w:t>Safeguard the Kenyan sugar industry</w:t>
            </w:r>
          </w:p>
          <w:p w:rsidR="00A22559" w:rsidRPr="0013735A" w:rsidRDefault="00A22559" w:rsidP="0013735A">
            <w:pPr>
              <w:spacing w:after="0" w:line="240" w:lineRule="auto"/>
              <w:rPr>
                <w:sz w:val="18"/>
                <w:szCs w:val="18"/>
              </w:rPr>
            </w:pPr>
            <w:r w:rsidRPr="0013735A">
              <w:rPr>
                <w:sz w:val="18"/>
                <w:szCs w:val="18"/>
              </w:rPr>
              <w:t>Reduce the subsidy and sugar price disparity</w:t>
            </w:r>
          </w:p>
          <w:p w:rsidR="00A22559" w:rsidRPr="0013735A" w:rsidRDefault="00A22559" w:rsidP="0013735A">
            <w:pPr>
              <w:spacing w:after="0" w:line="240" w:lineRule="auto"/>
              <w:rPr>
                <w:sz w:val="18"/>
                <w:szCs w:val="18"/>
              </w:rPr>
            </w:pPr>
            <w:r w:rsidRPr="0013735A">
              <w:rPr>
                <w:sz w:val="18"/>
                <w:szCs w:val="18"/>
              </w:rPr>
              <w:t>Ensure continued rural employment</w:t>
            </w:r>
          </w:p>
        </w:tc>
        <w:tc>
          <w:tcPr>
            <w:tcW w:w="3285" w:type="dxa"/>
            <w:shd w:val="clear" w:color="auto" w:fill="auto"/>
          </w:tcPr>
          <w:p w:rsidR="00A22559" w:rsidRPr="0013735A" w:rsidRDefault="008576D1" w:rsidP="0013735A">
            <w:pPr>
              <w:spacing w:after="0" w:line="240" w:lineRule="auto"/>
              <w:rPr>
                <w:sz w:val="18"/>
                <w:szCs w:val="18"/>
              </w:rPr>
            </w:pPr>
            <w:r w:rsidRPr="0013735A">
              <w:rPr>
                <w:sz w:val="18"/>
                <w:szCs w:val="18"/>
              </w:rPr>
              <w:t>Low staff capacities and recurrent budget</w:t>
            </w:r>
          </w:p>
        </w:tc>
      </w:tr>
      <w:tr w:rsidR="00A22559" w:rsidTr="0013735A">
        <w:tc>
          <w:tcPr>
            <w:tcW w:w="1668" w:type="dxa"/>
            <w:shd w:val="clear" w:color="auto" w:fill="auto"/>
          </w:tcPr>
          <w:p w:rsidR="00A22559" w:rsidRPr="0013735A" w:rsidRDefault="00A22559" w:rsidP="0013735A">
            <w:pPr>
              <w:spacing w:after="0" w:line="240" w:lineRule="auto"/>
              <w:rPr>
                <w:sz w:val="18"/>
                <w:szCs w:val="18"/>
              </w:rPr>
            </w:pPr>
            <w:r w:rsidRPr="0013735A">
              <w:rPr>
                <w:sz w:val="18"/>
                <w:szCs w:val="18"/>
              </w:rPr>
              <w:t>NEMA</w:t>
            </w:r>
          </w:p>
        </w:tc>
        <w:tc>
          <w:tcPr>
            <w:tcW w:w="4901" w:type="dxa"/>
            <w:shd w:val="clear" w:color="auto" w:fill="auto"/>
          </w:tcPr>
          <w:p w:rsidR="00A22559" w:rsidRPr="0013735A" w:rsidRDefault="00A22559" w:rsidP="0013735A">
            <w:pPr>
              <w:spacing w:after="0" w:line="240" w:lineRule="auto"/>
              <w:rPr>
                <w:sz w:val="18"/>
                <w:szCs w:val="18"/>
              </w:rPr>
            </w:pPr>
            <w:r w:rsidRPr="0013735A">
              <w:rPr>
                <w:sz w:val="18"/>
                <w:szCs w:val="18"/>
              </w:rPr>
              <w:t>Environmental and climate impact understood</w:t>
            </w:r>
          </w:p>
          <w:p w:rsidR="00A22559" w:rsidRPr="0013735A" w:rsidRDefault="00A22559" w:rsidP="0013735A">
            <w:pPr>
              <w:spacing w:after="0" w:line="240" w:lineRule="auto"/>
              <w:rPr>
                <w:sz w:val="18"/>
                <w:szCs w:val="18"/>
              </w:rPr>
            </w:pPr>
            <w:r w:rsidRPr="0013735A">
              <w:rPr>
                <w:sz w:val="18"/>
                <w:szCs w:val="18"/>
              </w:rPr>
              <w:t>Compliance with relevant regulations</w:t>
            </w:r>
          </w:p>
          <w:p w:rsidR="00717EC6" w:rsidRPr="0013735A" w:rsidRDefault="00A22559" w:rsidP="0013735A">
            <w:pPr>
              <w:spacing w:after="0" w:line="240" w:lineRule="auto"/>
              <w:rPr>
                <w:sz w:val="18"/>
                <w:szCs w:val="18"/>
              </w:rPr>
            </w:pPr>
            <w:r w:rsidRPr="0013735A">
              <w:rPr>
                <w:sz w:val="18"/>
                <w:szCs w:val="18"/>
              </w:rPr>
              <w:t>Exploit opportunities to improve the environment, reduce emissions and adapt to CC</w:t>
            </w:r>
            <w:r w:rsidR="004C6B32" w:rsidRPr="0013735A">
              <w:rPr>
                <w:sz w:val="18"/>
                <w:szCs w:val="18"/>
              </w:rPr>
              <w:t xml:space="preserve"> (e.g. </w:t>
            </w:r>
            <w:r w:rsidR="00717EC6" w:rsidRPr="0013735A">
              <w:rPr>
                <w:sz w:val="18"/>
                <w:szCs w:val="18"/>
              </w:rPr>
              <w:t>Habitat protection; Soil erosion</w:t>
            </w:r>
            <w:r w:rsidR="004C6B32" w:rsidRPr="0013735A">
              <w:rPr>
                <w:sz w:val="18"/>
                <w:szCs w:val="18"/>
              </w:rPr>
              <w:t>)</w:t>
            </w:r>
          </w:p>
        </w:tc>
        <w:tc>
          <w:tcPr>
            <w:tcW w:w="3285" w:type="dxa"/>
            <w:shd w:val="clear" w:color="auto" w:fill="auto"/>
          </w:tcPr>
          <w:p w:rsidR="00A22559" w:rsidRPr="0013735A" w:rsidRDefault="0039004A" w:rsidP="0013735A">
            <w:pPr>
              <w:spacing w:after="0" w:line="240" w:lineRule="auto"/>
              <w:rPr>
                <w:sz w:val="18"/>
                <w:szCs w:val="18"/>
              </w:rPr>
            </w:pPr>
            <w:r w:rsidRPr="0013735A">
              <w:rPr>
                <w:sz w:val="18"/>
                <w:szCs w:val="18"/>
              </w:rPr>
              <w:t>Capacity</w:t>
            </w:r>
            <w:r w:rsidR="00CF48C8" w:rsidRPr="0013735A">
              <w:rPr>
                <w:sz w:val="18"/>
                <w:szCs w:val="18"/>
              </w:rPr>
              <w:t xml:space="preserve"> and budget available </w:t>
            </w:r>
            <w:r w:rsidRPr="0013735A">
              <w:rPr>
                <w:sz w:val="18"/>
                <w:szCs w:val="18"/>
              </w:rPr>
              <w:t xml:space="preserve"> to monitor and enforce regulations</w:t>
            </w:r>
            <w:r w:rsidR="00CF48C8" w:rsidRPr="0013735A">
              <w:rPr>
                <w:sz w:val="18"/>
                <w:szCs w:val="18"/>
              </w:rPr>
              <w:t xml:space="preserve"> is limited</w:t>
            </w:r>
          </w:p>
        </w:tc>
      </w:tr>
      <w:tr w:rsidR="00A22559" w:rsidTr="0013735A">
        <w:tc>
          <w:tcPr>
            <w:tcW w:w="1668" w:type="dxa"/>
            <w:shd w:val="clear" w:color="auto" w:fill="auto"/>
          </w:tcPr>
          <w:p w:rsidR="00A22559" w:rsidRPr="0013735A" w:rsidRDefault="00A22559" w:rsidP="0013735A">
            <w:pPr>
              <w:spacing w:after="0" w:line="240" w:lineRule="auto"/>
              <w:rPr>
                <w:sz w:val="18"/>
                <w:szCs w:val="18"/>
              </w:rPr>
            </w:pPr>
            <w:r w:rsidRPr="0013735A">
              <w:rPr>
                <w:sz w:val="18"/>
                <w:szCs w:val="18"/>
              </w:rPr>
              <w:t>EUD</w:t>
            </w:r>
          </w:p>
        </w:tc>
        <w:tc>
          <w:tcPr>
            <w:tcW w:w="4901" w:type="dxa"/>
            <w:shd w:val="clear" w:color="auto" w:fill="auto"/>
          </w:tcPr>
          <w:p w:rsidR="00A22559" w:rsidRPr="0013735A" w:rsidRDefault="00813A68" w:rsidP="0013735A">
            <w:pPr>
              <w:autoSpaceDE w:val="0"/>
              <w:autoSpaceDN w:val="0"/>
              <w:adjustRightInd w:val="0"/>
              <w:spacing w:after="0" w:line="240" w:lineRule="auto"/>
              <w:rPr>
                <w:sz w:val="18"/>
                <w:szCs w:val="18"/>
              </w:rPr>
            </w:pPr>
            <w:r w:rsidRPr="0013735A">
              <w:rPr>
                <w:sz w:val="18"/>
                <w:szCs w:val="18"/>
              </w:rPr>
              <w:t xml:space="preserve">Reduce risks of collapse </w:t>
            </w:r>
            <w:r w:rsidR="00EB2FC7" w:rsidRPr="0013735A">
              <w:rPr>
                <w:sz w:val="18"/>
                <w:szCs w:val="18"/>
              </w:rPr>
              <w:t xml:space="preserve"> of the sugar </w:t>
            </w:r>
            <w:r w:rsidRPr="0013735A">
              <w:rPr>
                <w:sz w:val="18"/>
                <w:szCs w:val="18"/>
              </w:rPr>
              <w:t>due</w:t>
            </w:r>
            <w:r w:rsidR="00EB2FC7" w:rsidRPr="0013735A">
              <w:rPr>
                <w:sz w:val="18"/>
                <w:szCs w:val="18"/>
              </w:rPr>
              <w:t xml:space="preserve"> the </w:t>
            </w:r>
            <w:r w:rsidRPr="0013735A">
              <w:rPr>
                <w:rFonts w:ascii="TimesNewRoman" w:hAnsi="TimesNewRoman" w:cs="TimesNewRoman"/>
                <w:sz w:val="18"/>
                <w:szCs w:val="18"/>
                <w:lang w:eastAsia="en-GB"/>
              </w:rPr>
              <w:t xml:space="preserve"> slow pace of privatization </w:t>
            </w:r>
            <w:r w:rsidR="00EB2FC7" w:rsidRPr="0013735A">
              <w:rPr>
                <w:rFonts w:ascii="TimesNewRoman" w:hAnsi="TimesNewRoman" w:cs="TimesNewRoman"/>
                <w:sz w:val="18"/>
                <w:szCs w:val="18"/>
                <w:lang w:eastAsia="en-GB"/>
              </w:rPr>
              <w:t>/ reform</w:t>
            </w:r>
          </w:p>
        </w:tc>
        <w:tc>
          <w:tcPr>
            <w:tcW w:w="3285" w:type="dxa"/>
            <w:shd w:val="clear" w:color="auto" w:fill="auto"/>
          </w:tcPr>
          <w:p w:rsidR="00A22559" w:rsidRPr="0013735A" w:rsidRDefault="00CF48C8" w:rsidP="0013735A">
            <w:pPr>
              <w:spacing w:after="0" w:line="240" w:lineRule="auto"/>
              <w:rPr>
                <w:sz w:val="18"/>
                <w:szCs w:val="18"/>
              </w:rPr>
            </w:pPr>
            <w:r w:rsidRPr="0013735A">
              <w:rPr>
                <w:sz w:val="18"/>
                <w:szCs w:val="18"/>
              </w:rPr>
              <w:t>Limited resources to monitor</w:t>
            </w:r>
          </w:p>
        </w:tc>
      </w:tr>
      <w:tr w:rsidR="00A22559" w:rsidTr="0013735A">
        <w:tc>
          <w:tcPr>
            <w:tcW w:w="1668" w:type="dxa"/>
            <w:shd w:val="clear" w:color="auto" w:fill="auto"/>
          </w:tcPr>
          <w:p w:rsidR="00A22559" w:rsidRPr="0013735A" w:rsidRDefault="00A22559" w:rsidP="0013735A">
            <w:pPr>
              <w:spacing w:after="0" w:line="240" w:lineRule="auto"/>
              <w:rPr>
                <w:sz w:val="18"/>
                <w:szCs w:val="18"/>
              </w:rPr>
            </w:pPr>
            <w:r w:rsidRPr="0013735A">
              <w:rPr>
                <w:sz w:val="18"/>
                <w:szCs w:val="18"/>
              </w:rPr>
              <w:t>Civil society</w:t>
            </w:r>
          </w:p>
        </w:tc>
        <w:tc>
          <w:tcPr>
            <w:tcW w:w="4901" w:type="dxa"/>
            <w:shd w:val="clear" w:color="auto" w:fill="auto"/>
          </w:tcPr>
          <w:p w:rsidR="00CF48C8" w:rsidRPr="0013735A" w:rsidRDefault="00717EC6" w:rsidP="0013735A">
            <w:pPr>
              <w:spacing w:after="0" w:line="240" w:lineRule="auto"/>
              <w:rPr>
                <w:sz w:val="18"/>
                <w:szCs w:val="18"/>
              </w:rPr>
            </w:pPr>
            <w:r w:rsidRPr="0013735A">
              <w:rPr>
                <w:sz w:val="18"/>
                <w:szCs w:val="18"/>
              </w:rPr>
              <w:t>Competition for land, given increasing population (Western Kenya)</w:t>
            </w:r>
            <w:r w:rsidR="00CF48C8" w:rsidRPr="0013735A">
              <w:rPr>
                <w:sz w:val="18"/>
                <w:szCs w:val="18"/>
              </w:rPr>
              <w:t xml:space="preserve"> Land use change </w:t>
            </w:r>
          </w:p>
          <w:p w:rsidR="00717EC6" w:rsidRPr="0013735A" w:rsidRDefault="00717EC6" w:rsidP="0013735A">
            <w:pPr>
              <w:spacing w:after="0" w:line="240" w:lineRule="auto"/>
              <w:rPr>
                <w:sz w:val="18"/>
                <w:szCs w:val="18"/>
              </w:rPr>
            </w:pPr>
            <w:r w:rsidRPr="0013735A">
              <w:rPr>
                <w:sz w:val="18"/>
                <w:szCs w:val="18"/>
              </w:rPr>
              <w:t xml:space="preserve">Competition for access to water </w:t>
            </w:r>
          </w:p>
          <w:p w:rsidR="0039004A" w:rsidRPr="0013735A" w:rsidRDefault="0039004A" w:rsidP="0013735A">
            <w:pPr>
              <w:spacing w:after="0" w:line="240" w:lineRule="auto"/>
              <w:rPr>
                <w:sz w:val="18"/>
                <w:szCs w:val="18"/>
              </w:rPr>
            </w:pPr>
            <w:r w:rsidRPr="0013735A">
              <w:rPr>
                <w:sz w:val="18"/>
                <w:szCs w:val="18"/>
              </w:rPr>
              <w:t>Water pollution from sugar mill effluent</w:t>
            </w:r>
          </w:p>
        </w:tc>
        <w:tc>
          <w:tcPr>
            <w:tcW w:w="3285" w:type="dxa"/>
            <w:shd w:val="clear" w:color="auto" w:fill="auto"/>
          </w:tcPr>
          <w:p w:rsidR="00A22559" w:rsidRPr="0013735A" w:rsidRDefault="0039004A" w:rsidP="0013735A">
            <w:pPr>
              <w:spacing w:after="0" w:line="240" w:lineRule="auto"/>
              <w:rPr>
                <w:sz w:val="18"/>
                <w:szCs w:val="18"/>
              </w:rPr>
            </w:pPr>
            <w:r w:rsidRPr="0013735A">
              <w:rPr>
                <w:sz w:val="18"/>
                <w:szCs w:val="18"/>
              </w:rPr>
              <w:t>Access to information</w:t>
            </w:r>
            <w:r w:rsidR="002C2BF4" w:rsidRPr="0013735A">
              <w:rPr>
                <w:sz w:val="18"/>
                <w:szCs w:val="18"/>
              </w:rPr>
              <w:t xml:space="preserve"> is weak</w:t>
            </w:r>
          </w:p>
          <w:p w:rsidR="002C2BF4" w:rsidRPr="0013735A" w:rsidRDefault="002C2BF4" w:rsidP="0013735A">
            <w:pPr>
              <w:spacing w:after="0" w:line="240" w:lineRule="auto"/>
              <w:rPr>
                <w:sz w:val="18"/>
                <w:szCs w:val="18"/>
              </w:rPr>
            </w:pPr>
            <w:r w:rsidRPr="0013735A">
              <w:rPr>
                <w:sz w:val="18"/>
                <w:szCs w:val="18"/>
              </w:rPr>
              <w:t>Do not act with one voice</w:t>
            </w:r>
          </w:p>
        </w:tc>
      </w:tr>
    </w:tbl>
    <w:p w:rsidR="004C6B32" w:rsidRDefault="004C6B32" w:rsidP="00CF48C8">
      <w:pPr>
        <w:rPr>
          <w:b/>
          <w:lang w:val="da-DK"/>
        </w:rPr>
      </w:pPr>
    </w:p>
    <w:p w:rsidR="004C6B32" w:rsidRPr="004C6B32" w:rsidRDefault="004C6B32" w:rsidP="004C6B32">
      <w:pPr>
        <w:jc w:val="both"/>
        <w:rPr>
          <w:b/>
          <w:lang w:val="da-DK"/>
        </w:rPr>
      </w:pPr>
      <w:r>
        <w:rPr>
          <w:noProof/>
        </w:rPr>
        <w:pict>
          <v:shapetype id="_x0000_t202" coordsize="21600,21600" o:spt="202" path="m,l,21600r21600,l21600,xe">
            <v:stroke joinstyle="miter"/>
            <v:path gradientshapeok="t" o:connecttype="rect"/>
          </v:shapetype>
          <v:shape id="_x0000_s1027" type="#_x0000_t202" style="position:absolute;left:0;text-align:left;margin-left:-1.85pt;margin-top:42.65pt;width:186.85pt;height:149.5pt;z-index:2" stroked="f">
            <v:textbox style="mso-fit-shape-to-text:t">
              <w:txbxContent>
                <w:p w:rsidR="004C6B32" w:rsidRPr="004C6B32" w:rsidRDefault="004C6B32">
                  <w:pPr>
                    <w:rPr>
                      <w:sz w:val="20"/>
                      <w:szCs w:val="20"/>
                      <w:lang w:val="da-DK"/>
                    </w:rPr>
                  </w:pPr>
                  <w:r w:rsidRPr="004C6B32">
                    <w:rPr>
                      <w:sz w:val="20"/>
                      <w:szCs w:val="20"/>
                      <w:lang w:val="da-DK"/>
                    </w:rPr>
                    <w:t>Vertical axis: the power to influence environmental mainstreaming and implement mitigating and other measures</w:t>
                  </w:r>
                </w:p>
                <w:p w:rsidR="004C6B32" w:rsidRPr="004C6B32" w:rsidRDefault="004C6B32">
                  <w:pPr>
                    <w:rPr>
                      <w:sz w:val="20"/>
                      <w:szCs w:val="20"/>
                      <w:lang w:val="da-DK"/>
                    </w:rPr>
                  </w:pPr>
                  <w:r w:rsidRPr="004C6B32">
                    <w:rPr>
                      <w:sz w:val="20"/>
                      <w:szCs w:val="20"/>
                      <w:lang w:val="da-DK"/>
                    </w:rPr>
                    <w:t>Horizontal axis: the level of interest and desire to implement environmental mainstreaming</w:t>
                  </w:r>
                </w:p>
                <w:p w:rsidR="004C6B32" w:rsidRPr="004C6B32" w:rsidRDefault="004C6B32">
                  <w:pPr>
                    <w:rPr>
                      <w:sz w:val="20"/>
                      <w:szCs w:val="20"/>
                      <w:lang w:val="da-DK"/>
                    </w:rPr>
                  </w:pPr>
                  <w:r w:rsidRPr="004C6B32">
                    <w:rPr>
                      <w:sz w:val="20"/>
                      <w:szCs w:val="20"/>
                      <w:lang w:val="da-DK"/>
                    </w:rPr>
                    <w:t xml:space="preserve">Confirm stakeholders and add if relevant – plot on the diagram </w:t>
                  </w:r>
                </w:p>
              </w:txbxContent>
            </v:textbox>
            <w10:wrap type="squar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212.55pt;margin-top:22pt;width:276.1pt;height:170.9pt;z-index:-2;visibility:visible" wrapcoords="-59 0 -59 21505 21600 21505 21600 0 -59 0">
            <v:imagedata r:id="rId5" o:title=""/>
            <w10:wrap type="tight"/>
          </v:shape>
        </w:pict>
      </w:r>
      <w:r>
        <w:rPr>
          <w:b/>
          <w:lang w:val="da-DK"/>
        </w:rPr>
        <w:t>F</w:t>
      </w:r>
      <w:r w:rsidRPr="004C6B32">
        <w:rPr>
          <w:b/>
          <w:lang w:val="da-DK"/>
        </w:rPr>
        <w:t>orce field plot</w:t>
      </w:r>
    </w:p>
    <w:sectPr w:rsidR="004C6B32" w:rsidRPr="004C6B3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17F53"/>
    <w:multiLevelType w:val="multilevel"/>
    <w:tmpl w:val="E63ABB62"/>
    <w:lvl w:ilvl="0">
      <w:start w:val="1"/>
      <w:numFmt w:val="upperLetter"/>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165615E3"/>
    <w:multiLevelType w:val="hybridMultilevel"/>
    <w:tmpl w:val="96EEC9B6"/>
    <w:lvl w:ilvl="0" w:tplc="349EFE90">
      <w:start w:val="1"/>
      <w:numFmt w:val="upperLetter"/>
      <w:lvlText w:val="%1)"/>
      <w:lvlJc w:val="left"/>
      <w:pPr>
        <w:ind w:left="720" w:hanging="360"/>
      </w:pPr>
      <w:rPr>
        <w:rFonts w:hint="default"/>
        <w:b/>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7937C7A"/>
    <w:multiLevelType w:val="multilevel"/>
    <w:tmpl w:val="65224708"/>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63C405C"/>
    <w:multiLevelType w:val="multilevel"/>
    <w:tmpl w:val="A838DD2C"/>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59B94590"/>
    <w:multiLevelType w:val="hybridMultilevel"/>
    <w:tmpl w:val="948C544E"/>
    <w:lvl w:ilvl="0" w:tplc="1CD09924">
      <w:start w:val="1"/>
      <w:numFmt w:val="lowerLetter"/>
      <w:lvlText w:val="%1)"/>
      <w:lvlJc w:val="left"/>
      <w:pPr>
        <w:ind w:left="720" w:hanging="360"/>
      </w:pPr>
      <w:rPr>
        <w:rFonts w:hint="default"/>
        <w:b/>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43E2E6F"/>
    <w:multiLevelType w:val="hybridMultilevel"/>
    <w:tmpl w:val="38265F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77C459ED"/>
    <w:multiLevelType w:val="multilevel"/>
    <w:tmpl w:val="25745382"/>
    <w:lvl w:ilvl="0">
      <w:start w:val="1"/>
      <w:numFmt w:val="bullet"/>
      <w:lvlText w:val=""/>
      <w:lvlJc w:val="left"/>
      <w:pPr>
        <w:ind w:left="720" w:hanging="72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7E3639A8"/>
    <w:multiLevelType w:val="hybridMultilevel"/>
    <w:tmpl w:val="E41A3490"/>
    <w:lvl w:ilvl="0" w:tplc="E2602B1A">
      <w:start w:val="1"/>
      <w:numFmt w:val="lowerRoman"/>
      <w:lvlText w:val="%1)"/>
      <w:lvlJc w:val="left"/>
      <w:pPr>
        <w:ind w:left="1080" w:hanging="720"/>
      </w:pPr>
      <w:rPr>
        <w:rFonts w:hint="default"/>
        <w:b/>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0"/>
  </w:num>
  <w:num w:numId="5">
    <w:abstractNumId w:val="4"/>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11A"/>
    <w:rsid w:val="000543AC"/>
    <w:rsid w:val="0013735A"/>
    <w:rsid w:val="001F2727"/>
    <w:rsid w:val="002C2BF4"/>
    <w:rsid w:val="002F1F1F"/>
    <w:rsid w:val="0039004A"/>
    <w:rsid w:val="003E112F"/>
    <w:rsid w:val="00431EC6"/>
    <w:rsid w:val="004C6B32"/>
    <w:rsid w:val="00550C1C"/>
    <w:rsid w:val="005B04D4"/>
    <w:rsid w:val="006973D9"/>
    <w:rsid w:val="00717EC6"/>
    <w:rsid w:val="00813A68"/>
    <w:rsid w:val="008576D1"/>
    <w:rsid w:val="0087186B"/>
    <w:rsid w:val="008D35BF"/>
    <w:rsid w:val="00913217"/>
    <w:rsid w:val="00A22559"/>
    <w:rsid w:val="00CA124A"/>
    <w:rsid w:val="00CF48C8"/>
    <w:rsid w:val="00D01E0B"/>
    <w:rsid w:val="00D8011A"/>
    <w:rsid w:val="00EB2F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A22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3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1921</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Bjørn Bauer</cp:lastModifiedBy>
  <cp:revision>2</cp:revision>
  <dcterms:created xsi:type="dcterms:W3CDTF">2014-10-15T13:43:00Z</dcterms:created>
  <dcterms:modified xsi:type="dcterms:W3CDTF">2014-10-15T13:43:00Z</dcterms:modified>
</cp:coreProperties>
</file>